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方正黑体_GBK" w:hAnsi="宋体" w:eastAsia="方正黑体_GBK"/>
          <w:sz w:val="24"/>
        </w:rPr>
      </w:pPr>
      <w:r>
        <w:rPr>
          <w:rFonts w:hint="eastAsia" w:ascii="方正黑体_GBK" w:hAnsi="宋体" w:eastAsia="方正黑体_GBK"/>
          <w:sz w:val="24"/>
        </w:rPr>
        <w:t>附件1</w:t>
      </w:r>
    </w:p>
    <w:p>
      <w:pPr>
        <w:spacing w:line="360" w:lineRule="auto"/>
        <w:jc w:val="center"/>
        <w:rPr>
          <w:rFonts w:ascii="方正黑体_GBK" w:hAnsi="宋体" w:eastAsia="方正黑体_GBK"/>
          <w:b/>
          <w:sz w:val="36"/>
          <w:szCs w:val="36"/>
        </w:rPr>
      </w:pPr>
      <w:r>
        <w:rPr>
          <w:rFonts w:hint="eastAsia" w:ascii="方正黑体_GBK" w:hAnsi="宋体" w:eastAsia="方正黑体_GBK"/>
          <w:b/>
          <w:sz w:val="36"/>
          <w:szCs w:val="36"/>
        </w:rPr>
        <w:t>《江苏淮安工业园区低效用地再开发专项规划（</w:t>
      </w:r>
      <w:r>
        <w:rPr>
          <w:rFonts w:ascii="方正黑体_GBK" w:hAnsi="宋体" w:eastAsia="方正黑体_GBK"/>
          <w:b/>
          <w:sz w:val="36"/>
          <w:szCs w:val="36"/>
        </w:rPr>
        <w:t>2021-2025年）》</w:t>
      </w:r>
    </w:p>
    <w:p>
      <w:pPr>
        <w:spacing w:line="360" w:lineRule="auto"/>
        <w:jc w:val="center"/>
        <w:rPr>
          <w:rFonts w:ascii="方正黑体_GBK" w:hAnsi="宋体" w:eastAsia="方正黑体_GBK"/>
          <w:b/>
          <w:sz w:val="28"/>
          <w:szCs w:val="28"/>
        </w:rPr>
      </w:pPr>
      <w:r>
        <w:rPr>
          <w:rFonts w:hint="eastAsia" w:ascii="方正黑体_GBK" w:hAnsi="宋体" w:eastAsia="方正黑体_GBK"/>
          <w:b/>
          <w:sz w:val="28"/>
          <w:szCs w:val="28"/>
        </w:rPr>
        <w:t>（公示草案）</w:t>
      </w:r>
    </w:p>
    <w:p>
      <w:pPr>
        <w:spacing w:line="360" w:lineRule="auto"/>
        <w:ind w:firstLine="560" w:firstLineChars="200"/>
        <w:rPr>
          <w:rFonts w:ascii="方正黑体_GBK" w:hAnsi="宋体" w:eastAsia="方正黑体_GBK"/>
          <w:sz w:val="28"/>
        </w:rPr>
      </w:pPr>
      <w:r>
        <w:rPr>
          <w:rFonts w:hint="eastAsia" w:ascii="方正黑体_GBK" w:hAnsi="宋体" w:eastAsia="方正黑体_GBK"/>
          <w:sz w:val="28"/>
        </w:rPr>
        <w:t>一、编制依据</w:t>
      </w:r>
    </w:p>
    <w:p>
      <w:pPr>
        <w:spacing w:line="360" w:lineRule="auto"/>
        <w:ind w:firstLine="560" w:firstLineChars="200"/>
        <w:rPr>
          <w:rFonts w:ascii="仿宋_GB2312" w:hAnsi="宋体" w:eastAsia="仿宋_GB2312"/>
          <w:sz w:val="28"/>
        </w:rPr>
      </w:pPr>
      <w:r>
        <w:rPr>
          <w:rFonts w:ascii="仿宋_GB2312" w:hAnsi="宋体" w:eastAsia="仿宋_GB2312"/>
          <w:sz w:val="28"/>
        </w:rPr>
        <w:t>1）《中华人民共和国土地管理法》；</w:t>
      </w:r>
    </w:p>
    <w:p>
      <w:pPr>
        <w:spacing w:line="360" w:lineRule="auto"/>
        <w:ind w:firstLine="560" w:firstLineChars="200"/>
        <w:rPr>
          <w:rFonts w:ascii="仿宋_GB2312" w:hAnsi="宋体" w:eastAsia="仿宋_GB2312"/>
          <w:sz w:val="28"/>
        </w:rPr>
      </w:pPr>
      <w:r>
        <w:rPr>
          <w:rFonts w:ascii="仿宋_GB2312" w:hAnsi="宋体" w:eastAsia="仿宋_GB2312"/>
          <w:sz w:val="28"/>
        </w:rPr>
        <w:t>2）《中华人民共和国城乡规划法》；</w:t>
      </w:r>
    </w:p>
    <w:p>
      <w:pPr>
        <w:spacing w:line="360" w:lineRule="auto"/>
        <w:ind w:firstLine="560" w:firstLineChars="200"/>
        <w:rPr>
          <w:rFonts w:ascii="仿宋_GB2312" w:hAnsi="宋体" w:eastAsia="仿宋_GB2312"/>
          <w:sz w:val="28"/>
        </w:rPr>
      </w:pPr>
      <w:r>
        <w:rPr>
          <w:rFonts w:ascii="仿宋_GB2312" w:hAnsi="宋体" w:eastAsia="仿宋_GB2312"/>
          <w:sz w:val="28"/>
        </w:rPr>
        <w:t>3）《中华人民共和国物权法》；</w:t>
      </w:r>
    </w:p>
    <w:p>
      <w:pPr>
        <w:spacing w:line="360" w:lineRule="auto"/>
        <w:ind w:firstLine="560" w:firstLineChars="200"/>
        <w:rPr>
          <w:rFonts w:ascii="仿宋_GB2312" w:hAnsi="宋体" w:eastAsia="仿宋_GB2312"/>
          <w:sz w:val="28"/>
        </w:rPr>
      </w:pPr>
      <w:r>
        <w:rPr>
          <w:rFonts w:ascii="仿宋_GB2312" w:hAnsi="宋体" w:eastAsia="仿宋_GB2312"/>
          <w:sz w:val="28"/>
        </w:rPr>
        <w:t>4）《中华人民共和国城市房地产管理法》；</w:t>
      </w:r>
    </w:p>
    <w:p>
      <w:pPr>
        <w:spacing w:line="360" w:lineRule="auto"/>
        <w:ind w:firstLine="560" w:firstLineChars="200"/>
        <w:rPr>
          <w:rFonts w:ascii="仿宋_GB2312" w:hAnsi="宋体" w:eastAsia="仿宋_GB2312"/>
          <w:sz w:val="28"/>
        </w:rPr>
      </w:pPr>
      <w:r>
        <w:rPr>
          <w:rFonts w:ascii="仿宋_GB2312" w:hAnsi="宋体" w:eastAsia="仿宋_GB2312"/>
          <w:sz w:val="28"/>
        </w:rPr>
        <w:t>5）《中华人民共和国城镇国有土地使用权出让和转让暂行条例》；</w:t>
      </w:r>
    </w:p>
    <w:p>
      <w:pPr>
        <w:spacing w:line="360" w:lineRule="auto"/>
        <w:ind w:firstLine="560" w:firstLineChars="200"/>
        <w:rPr>
          <w:rFonts w:ascii="仿宋_GB2312" w:hAnsi="宋体" w:eastAsia="仿宋_GB2312"/>
          <w:sz w:val="28"/>
        </w:rPr>
      </w:pPr>
      <w:r>
        <w:rPr>
          <w:rFonts w:ascii="仿宋_GB2312" w:hAnsi="宋体" w:eastAsia="仿宋_GB2312"/>
          <w:sz w:val="28"/>
        </w:rPr>
        <w:t>6）《江苏省土地管理条例》；</w:t>
      </w:r>
    </w:p>
    <w:p>
      <w:pPr>
        <w:spacing w:line="360" w:lineRule="auto"/>
        <w:ind w:firstLine="560" w:firstLineChars="200"/>
        <w:rPr>
          <w:rFonts w:ascii="仿宋_GB2312" w:hAnsi="宋体" w:eastAsia="仿宋_GB2312"/>
          <w:sz w:val="28"/>
        </w:rPr>
      </w:pPr>
      <w:r>
        <w:rPr>
          <w:rFonts w:ascii="仿宋_GB2312" w:hAnsi="宋体" w:eastAsia="仿宋_GB2312"/>
          <w:sz w:val="28"/>
        </w:rPr>
        <w:t>7）《江苏省城镇国有土地使用权出让和转让实施办法》；</w:t>
      </w:r>
    </w:p>
    <w:p>
      <w:pPr>
        <w:spacing w:line="360" w:lineRule="auto"/>
        <w:ind w:firstLine="560" w:firstLineChars="200"/>
        <w:rPr>
          <w:rFonts w:ascii="仿宋_GB2312" w:hAnsi="宋体" w:eastAsia="仿宋_GB2312"/>
          <w:sz w:val="28"/>
        </w:rPr>
      </w:pPr>
      <w:r>
        <w:rPr>
          <w:rFonts w:ascii="仿宋_GB2312" w:hAnsi="宋体" w:eastAsia="仿宋_GB2312"/>
          <w:sz w:val="28"/>
        </w:rPr>
        <w:t>8）《江苏省贯彻实施&lt;国有土地上房屋征收与补偿条例&gt;若干问题的规定》</w:t>
      </w:r>
      <w:r>
        <w:rPr>
          <w:rFonts w:hint="eastAsia" w:ascii="仿宋_GB2312" w:hAnsi="宋体" w:eastAsia="仿宋_GB2312"/>
          <w:sz w:val="28"/>
        </w:rPr>
        <w:t>；</w:t>
      </w:r>
    </w:p>
    <w:p>
      <w:pPr>
        <w:spacing w:line="360" w:lineRule="auto"/>
        <w:ind w:firstLine="560" w:firstLineChars="200"/>
        <w:rPr>
          <w:rFonts w:ascii="仿宋_GB2312" w:hAnsi="宋体" w:eastAsia="仿宋_GB2312"/>
          <w:sz w:val="28"/>
        </w:rPr>
      </w:pPr>
      <w:r>
        <w:rPr>
          <w:rFonts w:ascii="仿宋_GB2312" w:hAnsi="宋体" w:eastAsia="仿宋_GB2312"/>
          <w:sz w:val="28"/>
        </w:rPr>
        <w:t>9）《国土空间调查、规划、用途管制用地用海分类指南（试行）》（自然资办发〔2020〕51号）；</w:t>
      </w:r>
    </w:p>
    <w:p>
      <w:pPr>
        <w:spacing w:line="360" w:lineRule="auto"/>
        <w:ind w:firstLine="560" w:firstLineChars="200"/>
        <w:rPr>
          <w:rFonts w:ascii="仿宋_GB2312" w:hAnsi="宋体" w:eastAsia="仿宋_GB2312"/>
          <w:sz w:val="28"/>
        </w:rPr>
      </w:pPr>
      <w:r>
        <w:rPr>
          <w:rFonts w:hint="eastAsia" w:ascii="仿宋_GB2312" w:hAnsi="宋体" w:eastAsia="仿宋_GB2312"/>
          <w:sz w:val="28"/>
        </w:rPr>
        <w:t>1</w:t>
      </w:r>
      <w:r>
        <w:rPr>
          <w:rFonts w:ascii="仿宋_GB2312" w:hAnsi="宋体" w:eastAsia="仿宋_GB2312"/>
          <w:sz w:val="28"/>
        </w:rPr>
        <w:t>0</w:t>
      </w:r>
      <w:r>
        <w:rPr>
          <w:rFonts w:hint="eastAsia" w:ascii="仿宋_GB2312" w:hAnsi="宋体" w:eastAsia="仿宋_GB2312"/>
          <w:sz w:val="28"/>
        </w:rPr>
        <w:t>）《淮安市国民经济和社会发展第十四个五年规划和二〇三五年远景目标纲要》；</w:t>
      </w:r>
    </w:p>
    <w:p>
      <w:pPr>
        <w:spacing w:line="360" w:lineRule="auto"/>
        <w:ind w:firstLine="560" w:firstLineChars="200"/>
        <w:rPr>
          <w:rFonts w:ascii="仿宋_GB2312" w:hAnsi="宋体" w:eastAsia="仿宋_GB2312"/>
          <w:sz w:val="28"/>
        </w:rPr>
      </w:pPr>
      <w:r>
        <w:rPr>
          <w:rFonts w:ascii="仿宋_GB2312" w:hAnsi="宋体" w:eastAsia="仿宋_GB2312"/>
          <w:sz w:val="28"/>
        </w:rPr>
        <w:t>11）《淮安市城市总体规划（2016-2030）》；</w:t>
      </w:r>
    </w:p>
    <w:p>
      <w:pPr>
        <w:spacing w:line="360" w:lineRule="auto"/>
        <w:ind w:firstLine="560" w:firstLineChars="200"/>
        <w:rPr>
          <w:rFonts w:ascii="仿宋_GB2312" w:hAnsi="宋体" w:eastAsia="仿宋_GB2312"/>
          <w:sz w:val="28"/>
        </w:rPr>
      </w:pPr>
      <w:r>
        <w:rPr>
          <w:rFonts w:ascii="仿宋_GB2312" w:hAnsi="宋体" w:eastAsia="仿宋_GB2312"/>
          <w:sz w:val="28"/>
        </w:rPr>
        <w:t>12）《淮安市土地储备规划》；</w:t>
      </w:r>
    </w:p>
    <w:p>
      <w:pPr>
        <w:spacing w:line="360" w:lineRule="auto"/>
        <w:ind w:firstLine="560" w:firstLineChars="200"/>
        <w:rPr>
          <w:rFonts w:ascii="仿宋_GB2312" w:hAnsi="宋体" w:eastAsia="仿宋_GB2312"/>
          <w:sz w:val="28"/>
        </w:rPr>
      </w:pPr>
      <w:r>
        <w:rPr>
          <w:rFonts w:ascii="仿宋_GB2312" w:hAnsi="宋体" w:eastAsia="仿宋_GB2312"/>
          <w:sz w:val="28"/>
        </w:rPr>
        <w:t>13）《淮安市清江浦区国土空间规划近期实施方案》；</w:t>
      </w:r>
    </w:p>
    <w:p>
      <w:pPr>
        <w:spacing w:line="360" w:lineRule="auto"/>
        <w:ind w:firstLine="560" w:firstLineChars="200"/>
        <w:rPr>
          <w:rFonts w:ascii="仿宋_GB2312" w:hAnsi="宋体" w:eastAsia="仿宋_GB2312"/>
          <w:sz w:val="28"/>
        </w:rPr>
      </w:pPr>
      <w:r>
        <w:rPr>
          <w:rFonts w:ascii="仿宋_GB2312" w:hAnsi="宋体" w:eastAsia="仿宋_GB2312"/>
          <w:sz w:val="28"/>
        </w:rPr>
        <w:t>14）《淮安市淮安区国土空间规划近期实施方案》；</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15）《淮安市洪泽区国土空间规划近期实施方案》；</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16）《江苏省低效用地再开发专项规划和年度实施计划编制指南（试行版）》；</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17)《淮安工业园区工业企业用地调查成果》；</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18)拟再开发项目的相关资料及其他资料</w:t>
      </w:r>
    </w:p>
    <w:p>
      <w:pPr>
        <w:spacing w:line="360" w:lineRule="auto"/>
        <w:ind w:firstLine="560" w:firstLineChars="200"/>
        <w:rPr>
          <w:rFonts w:ascii="Times New Roman" w:hAnsi="Times New Roman" w:eastAsia="方正黑体_GBK" w:cs="Times New Roman"/>
          <w:sz w:val="28"/>
        </w:rPr>
      </w:pPr>
      <w:r>
        <w:rPr>
          <w:rFonts w:ascii="Times New Roman" w:hAnsi="Times New Roman" w:eastAsia="方正黑体_GBK" w:cs="Times New Roman"/>
          <w:sz w:val="28"/>
        </w:rPr>
        <w:t>二、基本情况</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江苏淮安工业园区位于淮安市域中心，北连科教产业园(大学城)、南连白马湖旅游度假区、东连生态文旅区、西连洪泽湖，下辖3个办事处，户籍人口4万人，实际管辖面积101平方公里。其中，化工规划环评面积24.58平方公里，为江苏省唯一依托地方资源优势打造建设的产业园区。</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本规划涉及下辖3个办事处，拟再开发</w:t>
      </w:r>
      <w:r>
        <w:rPr>
          <w:rFonts w:hint="eastAsia" w:ascii="Times New Roman" w:hAnsi="Times New Roman" w:eastAsia="仿宋_GB2312" w:cs="Times New Roman"/>
          <w:sz w:val="28"/>
        </w:rPr>
        <w:t>3</w:t>
      </w:r>
      <w:r>
        <w:rPr>
          <w:rFonts w:ascii="Times New Roman" w:hAnsi="Times New Roman" w:eastAsia="仿宋_GB2312" w:cs="Times New Roman"/>
          <w:sz w:val="28"/>
        </w:rPr>
        <w:t>6</w:t>
      </w:r>
      <w:r>
        <w:rPr>
          <w:rFonts w:hint="eastAsia" w:ascii="Times New Roman" w:hAnsi="Times New Roman" w:eastAsia="仿宋_GB2312" w:cs="Times New Roman"/>
          <w:sz w:val="28"/>
        </w:rPr>
        <w:t>个地块，</w:t>
      </w:r>
      <w:r>
        <w:rPr>
          <w:rFonts w:ascii="Times New Roman" w:hAnsi="Times New Roman" w:eastAsia="仿宋_GB2312" w:cs="Times New Roman"/>
          <w:sz w:val="28"/>
        </w:rPr>
        <w:t>面积89.3183公顷。</w:t>
      </w:r>
      <w:r>
        <w:rPr>
          <w:rFonts w:hint="eastAsia" w:ascii="Times New Roman" w:hAnsi="Times New Roman" w:eastAsia="仿宋_GB2312" w:cs="Times New Roman"/>
          <w:sz w:val="28"/>
        </w:rPr>
        <w:t>拟再开发</w:t>
      </w:r>
      <w:r>
        <w:rPr>
          <w:rFonts w:ascii="Times New Roman" w:hAnsi="Times New Roman" w:eastAsia="仿宋_GB2312" w:cs="Times New Roman"/>
          <w:sz w:val="28"/>
        </w:rPr>
        <w:t>地块</w:t>
      </w:r>
      <w:r>
        <w:rPr>
          <w:rFonts w:hint="eastAsia" w:ascii="Times New Roman" w:hAnsi="Times New Roman" w:eastAsia="仿宋_GB2312" w:cs="Times New Roman"/>
          <w:sz w:val="28"/>
        </w:rPr>
        <w:t>均</w:t>
      </w:r>
      <w:r>
        <w:rPr>
          <w:rFonts w:ascii="Times New Roman" w:hAnsi="Times New Roman" w:eastAsia="仿宋_GB2312" w:cs="Times New Roman"/>
          <w:sz w:val="28"/>
        </w:rPr>
        <w:t>具备七通一平条件。</w:t>
      </w:r>
    </w:p>
    <w:p>
      <w:pPr>
        <w:spacing w:line="360" w:lineRule="auto"/>
        <w:ind w:firstLine="560" w:firstLineChars="200"/>
        <w:rPr>
          <w:rFonts w:ascii="Times New Roman" w:hAnsi="Times New Roman" w:eastAsia="方正黑体_GBK" w:cs="Times New Roman"/>
          <w:sz w:val="28"/>
        </w:rPr>
      </w:pPr>
      <w:r>
        <w:rPr>
          <w:rFonts w:ascii="Times New Roman" w:hAnsi="Times New Roman" w:eastAsia="方正黑体_GBK" w:cs="Times New Roman"/>
          <w:sz w:val="28"/>
        </w:rPr>
        <w:t>三、再开发规划项目安排</w:t>
      </w:r>
    </w:p>
    <w:p>
      <w:pPr>
        <w:spacing w:line="360" w:lineRule="auto"/>
        <w:ind w:firstLine="560" w:firstLineChars="200"/>
        <w:rPr>
          <w:rFonts w:ascii="Times New Roman" w:hAnsi="Times New Roman" w:eastAsia="方正黑体_GBK" w:cs="Times New Roman"/>
          <w:sz w:val="28"/>
        </w:rPr>
      </w:pPr>
      <w:r>
        <w:rPr>
          <w:rFonts w:ascii="Times New Roman" w:hAnsi="Times New Roman" w:eastAsia="方正黑体_GBK" w:cs="Times New Roman"/>
          <w:sz w:val="28"/>
        </w:rPr>
        <w:t>1、时序安排</w:t>
      </w:r>
    </w:p>
    <w:p>
      <w:pPr>
        <w:spacing w:line="360" w:lineRule="auto"/>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淮安工业园区低效用地再开发项目分五年启动，</w:t>
      </w:r>
      <w:r>
        <w:rPr>
          <w:rFonts w:hint="eastAsia" w:ascii="Times New Roman" w:hAnsi="Times New Roman" w:eastAsia="仿宋_GB2312" w:cs="Times New Roman"/>
          <w:sz w:val="28"/>
          <w:szCs w:val="28"/>
        </w:rPr>
        <w:t>再开发总面积8</w:t>
      </w:r>
      <w:r>
        <w:rPr>
          <w:rFonts w:ascii="Times New Roman" w:hAnsi="Times New Roman" w:eastAsia="仿宋_GB2312" w:cs="Times New Roman"/>
          <w:sz w:val="28"/>
          <w:szCs w:val="28"/>
        </w:rPr>
        <w:t>9.3183</w:t>
      </w:r>
      <w:r>
        <w:rPr>
          <w:rFonts w:hint="eastAsia" w:ascii="Times New Roman" w:hAnsi="Times New Roman" w:eastAsia="仿宋_GB2312" w:cs="Times New Roman"/>
          <w:sz w:val="28"/>
          <w:szCs w:val="28"/>
        </w:rPr>
        <w:t>公顷，</w:t>
      </w:r>
      <w:r>
        <w:rPr>
          <w:rFonts w:ascii="Times New Roman" w:hAnsi="Times New Roman" w:eastAsia="仿宋_GB2312" w:cs="Times New Roman"/>
          <w:sz w:val="28"/>
          <w:szCs w:val="28"/>
        </w:rPr>
        <w:t>其中，2021年实施9个项目，再开发面积为15.1241公顷，占比16.93%；2022年实施10个项目，再开发面积为17.6435公顷，占比19.75%；2023年实施8个项目，再开发面积为17.1261公顷，占比19.17%；2024年实施4个项目，再开发面积为17.9402公顷，占比20.09%；2025年实施5个项目，再开发面积为21.4843公顷，占比24.05%。</w:t>
      </w:r>
    </w:p>
    <w:p>
      <w:pPr>
        <w:spacing w:line="360" w:lineRule="auto"/>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2、用地结构安排</w:t>
      </w:r>
    </w:p>
    <w:p>
      <w:pPr>
        <w:spacing w:line="360" w:lineRule="auto"/>
        <w:ind w:firstLine="560" w:firstLineChars="200"/>
        <w:rPr>
          <w:rFonts w:ascii="Times New Roman" w:hAnsi="Times New Roman" w:eastAsia="仿宋_GB2312" w:cs="Times New Roman"/>
          <w:sz w:val="28"/>
          <w:szCs w:val="32"/>
        </w:rPr>
      </w:pPr>
      <w:r>
        <w:rPr>
          <w:rFonts w:ascii="Times New Roman" w:hAnsi="Times New Roman" w:eastAsia="仿宋_GB2312" w:cs="Times New Roman"/>
          <w:sz w:val="28"/>
          <w:szCs w:val="32"/>
        </w:rPr>
        <w:t>规划期内，再开发规划36个项目</w:t>
      </w:r>
      <w:r>
        <w:rPr>
          <w:rFonts w:hint="eastAsia" w:ascii="Times New Roman" w:hAnsi="Times New Roman" w:eastAsia="仿宋_GB2312" w:cs="Times New Roman"/>
          <w:sz w:val="28"/>
          <w:szCs w:val="32"/>
        </w:rPr>
        <w:t>面积</w:t>
      </w:r>
      <w:r>
        <w:rPr>
          <w:rFonts w:hint="eastAsia" w:ascii="Times New Roman" w:hAnsi="Times New Roman" w:eastAsia="仿宋_GB2312" w:cs="Times New Roman"/>
          <w:sz w:val="28"/>
          <w:szCs w:val="28"/>
        </w:rPr>
        <w:t>8</w:t>
      </w:r>
      <w:r>
        <w:rPr>
          <w:rFonts w:ascii="Times New Roman" w:hAnsi="Times New Roman" w:eastAsia="仿宋_GB2312" w:cs="Times New Roman"/>
          <w:sz w:val="28"/>
          <w:szCs w:val="28"/>
        </w:rPr>
        <w:t>9.3183</w:t>
      </w:r>
      <w:r>
        <w:rPr>
          <w:rFonts w:hint="eastAsia" w:ascii="Times New Roman" w:hAnsi="Times New Roman" w:eastAsia="仿宋_GB2312" w:cs="Times New Roman"/>
          <w:sz w:val="28"/>
          <w:szCs w:val="28"/>
        </w:rPr>
        <w:t>公顷</w:t>
      </w:r>
      <w:r>
        <w:rPr>
          <w:rFonts w:ascii="Times New Roman" w:hAnsi="Times New Roman" w:eastAsia="仿宋_GB2312" w:cs="Times New Roman"/>
          <w:sz w:val="28"/>
          <w:szCs w:val="32"/>
        </w:rPr>
        <w:t>，再开发</w:t>
      </w:r>
      <w:r>
        <w:rPr>
          <w:rFonts w:ascii="Times New Roman" w:hAnsi="Times New Roman" w:eastAsia="仿宋_GB2312" w:cs="Times New Roman"/>
          <w:sz w:val="28"/>
          <w:szCs w:val="28"/>
        </w:rPr>
        <w:t>工矿</w:t>
      </w:r>
      <w:r>
        <w:rPr>
          <w:rFonts w:ascii="Times New Roman" w:hAnsi="Times New Roman" w:eastAsia="仿宋_GB2312" w:cs="Times New Roman"/>
          <w:sz w:val="28"/>
          <w:szCs w:val="32"/>
        </w:rPr>
        <w:t>用地面积</w:t>
      </w:r>
      <w:r>
        <w:rPr>
          <w:rFonts w:ascii="Times New Roman" w:hAnsi="Times New Roman" w:eastAsia="仿宋_GB2312" w:cs="Times New Roman"/>
          <w:sz w:val="28"/>
          <w:szCs w:val="28"/>
        </w:rPr>
        <w:t>84.6006</w:t>
      </w:r>
      <w:r>
        <w:rPr>
          <w:rFonts w:ascii="Times New Roman" w:hAnsi="Times New Roman" w:eastAsia="仿宋_GB2312" w:cs="Times New Roman"/>
          <w:sz w:val="28"/>
          <w:szCs w:val="32"/>
        </w:rPr>
        <w:t>公顷；再开发商服用地面积</w:t>
      </w:r>
      <w:r>
        <w:rPr>
          <w:rFonts w:ascii="Times New Roman" w:hAnsi="Times New Roman" w:eastAsia="仿宋_GB2312" w:cs="Times New Roman"/>
          <w:sz w:val="28"/>
          <w:szCs w:val="28"/>
        </w:rPr>
        <w:t>4.7177</w:t>
      </w:r>
      <w:r>
        <w:rPr>
          <w:rFonts w:ascii="Times New Roman" w:hAnsi="Times New Roman" w:eastAsia="仿宋_GB2312" w:cs="Times New Roman"/>
          <w:sz w:val="28"/>
          <w:szCs w:val="32"/>
        </w:rPr>
        <w:t>公顷。</w:t>
      </w:r>
    </w:p>
    <w:p>
      <w:pPr>
        <w:spacing w:line="360" w:lineRule="auto"/>
        <w:ind w:firstLine="560" w:firstLineChars="200"/>
        <w:rPr>
          <w:rFonts w:ascii="Times New Roman" w:hAnsi="Times New Roman" w:eastAsia="仿宋_GB2312" w:cs="Times New Roman"/>
          <w:sz w:val="28"/>
          <w:szCs w:val="32"/>
        </w:rPr>
      </w:pPr>
      <w:r>
        <w:rPr>
          <w:rFonts w:hint="eastAsia" w:ascii="Times New Roman" w:hAnsi="Times New Roman" w:eastAsia="仿宋_GB2312" w:cs="Times New Roman"/>
          <w:sz w:val="28"/>
          <w:szCs w:val="32"/>
        </w:rPr>
        <w:t>3</w:t>
      </w:r>
      <w:r>
        <w:rPr>
          <w:rFonts w:ascii="Times New Roman" w:hAnsi="Times New Roman" w:eastAsia="仿宋_GB2312" w:cs="Times New Roman"/>
          <w:sz w:val="28"/>
          <w:szCs w:val="28"/>
        </w:rPr>
        <w:t>、再开发方式安排</w:t>
      </w:r>
    </w:p>
    <w:p>
      <w:pPr>
        <w:spacing w:line="360" w:lineRule="auto"/>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确定规划实施期间各项目的再开发主体及方式。其中：</w:t>
      </w:r>
    </w:p>
    <w:p>
      <w:pPr>
        <w:spacing w:line="360" w:lineRule="auto"/>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市场作为开发主体的项目有17个，通过协议置换再开发的项目有7个，面积5.4807公顷，占比6.14%，通过其他方式再开发的项目有10个，面积29.7947公顷，占比33.36%。</w:t>
      </w:r>
    </w:p>
    <w:p>
      <w:pPr>
        <w:spacing w:line="360" w:lineRule="auto"/>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原国有土地使用权人作为开发主体的项目有15个，面积46.0156公顷，占比51.52%，均通过其他方式完成再开发，具体方式包括但不限于以企业自身追加投资、退二进三、提高容积率、引进新项目、企业出租等方式。</w:t>
      </w:r>
    </w:p>
    <w:p>
      <w:pPr>
        <w:spacing w:line="360" w:lineRule="auto"/>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政府作为开发主体的项目有4个，面积8.0274公顷，占比8.99%，均通过收购储备来完成再开发。</w:t>
      </w:r>
    </w:p>
    <w:p>
      <w:pPr>
        <w:spacing w:line="360" w:lineRule="auto"/>
        <w:ind w:firstLine="560" w:firstLineChars="200"/>
        <w:rPr>
          <w:rFonts w:ascii="Times New Roman" w:hAnsi="Times New Roman" w:eastAsia="方正黑体_GBK" w:cs="Times New Roman"/>
          <w:sz w:val="28"/>
          <w:szCs w:val="32"/>
        </w:rPr>
      </w:pPr>
      <w:r>
        <w:rPr>
          <w:rFonts w:ascii="Times New Roman" w:hAnsi="Times New Roman" w:eastAsia="方正黑体_GBK" w:cs="Times New Roman"/>
          <w:sz w:val="28"/>
          <w:szCs w:val="32"/>
        </w:rPr>
        <w:t>四、资金估算</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淮安工业园区低效用地再开发项目投资构成主要包括：</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1）土地收购储备费用</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土地收购储备费用主要包括拆迁安置补偿费用、土地前期开发费用及其他不可预见费用，涉及面积</w:t>
      </w:r>
      <w:r>
        <w:rPr>
          <w:rFonts w:ascii="Times New Roman" w:hAnsi="Times New Roman" w:eastAsia="仿宋_GB2312" w:cs="Times New Roman"/>
          <w:sz w:val="28"/>
          <w:szCs w:val="28"/>
        </w:rPr>
        <w:t>8.0274公顷，依据《省政府关于调整征地补偿标准的通知》（苏政发〔2011〕40号）、《江苏省征地补偿和被征地农民社会保障办法》（省政府令第93号）、《关于淮安市区国有土地上房屋征收补偿补助标准的通知》（淮政规发淮住建发[2011]67号）等补偿标准及淮安市土地前期开发水平测算，约需要土地收购储备费用22665.84万元。</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2）按差额补交出让金</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涉及改变土地用途、提高容积率办理协议出让手续的，按现用地条件净地价格与原用地条件净地价格（或划拨土地使用权价格）的差额补交土地出让金，涉及面积</w:t>
      </w:r>
      <w:r>
        <w:rPr>
          <w:rFonts w:ascii="Times New Roman" w:hAnsi="Times New Roman" w:eastAsia="仿宋_GB2312" w:cs="Times New Roman"/>
          <w:sz w:val="28"/>
          <w:szCs w:val="28"/>
        </w:rPr>
        <w:t>35.2752公顷。这部分费用由实施主体在编制再开发实施方案时根据企业现状及改造目标来具体估算。</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w:t>
      </w:r>
      <w:r>
        <w:rPr>
          <w:rFonts w:ascii="Times New Roman" w:hAnsi="Times New Roman" w:eastAsia="仿宋_GB2312" w:cs="Times New Roman"/>
          <w:sz w:val="28"/>
          <w:szCs w:val="28"/>
        </w:rPr>
        <w:t>3）企业自身转型升级费用</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企业自身转型升级费用，涉及面积</w:t>
      </w:r>
      <w:r>
        <w:rPr>
          <w:rFonts w:ascii="Times New Roman" w:hAnsi="Times New Roman" w:eastAsia="仿宋_GB2312" w:cs="Times New Roman"/>
          <w:sz w:val="28"/>
          <w:szCs w:val="28"/>
        </w:rPr>
        <w:t>46.0156公顷，包括企业在增加投资、企业嫁接、合作新项目等环节中所需要的费用，这部分费用由实施主体在编制再开发实施方案时根据企业现状及改造目标来具体估算。</w:t>
      </w:r>
    </w:p>
    <w:p>
      <w:pPr>
        <w:spacing w:line="360" w:lineRule="auto"/>
        <w:ind w:firstLine="560" w:firstLineChars="200"/>
        <w:rPr>
          <w:rFonts w:ascii="Times New Roman" w:hAnsi="Times New Roman" w:eastAsia="仿宋_GB2312" w:cs="Times New Roman"/>
          <w:sz w:val="28"/>
          <w:szCs w:val="28"/>
        </w:rPr>
      </w:pPr>
      <w:r>
        <w:rPr>
          <w:rFonts w:hint="eastAsia" w:ascii="Times New Roman" w:hAnsi="Times New Roman" w:eastAsia="仿宋_GB2312" w:cs="Times New Roman"/>
          <w:sz w:val="28"/>
          <w:szCs w:val="28"/>
        </w:rPr>
        <w:t>综上，淮安工业园区在规划期内，约需政府投资</w:t>
      </w:r>
      <w:r>
        <w:rPr>
          <w:rFonts w:ascii="Times New Roman" w:hAnsi="Times New Roman" w:eastAsia="仿宋_GB2312" w:cs="Times New Roman"/>
          <w:sz w:val="28"/>
          <w:szCs w:val="28"/>
        </w:rPr>
        <w:t>22665.84万元</w:t>
      </w:r>
      <w:r>
        <w:rPr>
          <w:rFonts w:hint="eastAsia" w:ascii="Times New Roman" w:hAnsi="Times New Roman" w:eastAsia="仿宋_GB2312" w:cs="Times New Roman"/>
          <w:sz w:val="28"/>
          <w:szCs w:val="28"/>
        </w:rPr>
        <w:t>，其余部分由项目实施主体自行估算解决</w:t>
      </w:r>
      <w:r>
        <w:rPr>
          <w:rFonts w:ascii="Times New Roman" w:hAnsi="Times New Roman" w:eastAsia="仿宋_GB2312" w:cs="Times New Roman"/>
          <w:sz w:val="28"/>
          <w:szCs w:val="28"/>
        </w:rPr>
        <w:t>。</w:t>
      </w:r>
    </w:p>
    <w:p>
      <w:pPr>
        <w:spacing w:line="360" w:lineRule="auto"/>
        <w:ind w:firstLine="560" w:firstLineChars="200"/>
        <w:rPr>
          <w:rFonts w:ascii="Times New Roman" w:hAnsi="Times New Roman" w:eastAsia="方正黑体_GBK" w:cs="Times New Roman"/>
          <w:sz w:val="28"/>
        </w:rPr>
      </w:pPr>
      <w:r>
        <w:rPr>
          <w:rFonts w:ascii="Times New Roman" w:hAnsi="Times New Roman" w:eastAsia="方正黑体_GBK" w:cs="Times New Roman"/>
          <w:sz w:val="28"/>
        </w:rPr>
        <w:t>五、土地利用效益评估</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（一）社会效益：</w:t>
      </w:r>
      <w:r>
        <w:rPr>
          <w:rFonts w:hint="eastAsia" w:ascii="Times New Roman" w:hAnsi="Times New Roman" w:eastAsia="仿宋_GB2312" w:cs="Times New Roman"/>
          <w:sz w:val="28"/>
        </w:rPr>
        <w:t>盘活城镇存量建设用地，有利于缓解用地供需矛盾，减少新增建设占用耕地。</w:t>
      </w:r>
      <w:r>
        <w:rPr>
          <w:rFonts w:ascii="Times New Roman" w:hAnsi="Times New Roman" w:eastAsia="仿宋_GB2312" w:cs="Times New Roman"/>
          <w:sz w:val="28"/>
        </w:rPr>
        <w:t>通过对建设用地结构的优化，为社会经济的建设提供了必要的用地保障。</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（二）经济效益：低效用地再开发工作能有力推动淮安工业园区产业转型升级，增强城市发展竞争力，实现地方的社会经济可持续发展。</w:t>
      </w:r>
    </w:p>
    <w:p>
      <w:pPr>
        <w:spacing w:line="360" w:lineRule="auto"/>
        <w:ind w:firstLine="560" w:firstLineChars="200"/>
        <w:rPr>
          <w:rFonts w:ascii="Times New Roman" w:hAnsi="Times New Roman" w:eastAsia="仿宋_GB2312" w:cs="Times New Roman"/>
          <w:sz w:val="28"/>
        </w:rPr>
      </w:pPr>
      <w:r>
        <w:rPr>
          <w:rFonts w:ascii="Times New Roman" w:hAnsi="Times New Roman" w:eastAsia="仿宋_GB2312" w:cs="Times New Roman"/>
          <w:sz w:val="28"/>
        </w:rPr>
        <w:t>（三）生态效益：</w:t>
      </w:r>
      <w:r>
        <w:rPr>
          <w:rFonts w:hint="eastAsia" w:ascii="Times New Roman" w:hAnsi="Times New Roman" w:eastAsia="仿宋_GB2312" w:cs="Times New Roman"/>
          <w:sz w:val="28"/>
        </w:rPr>
        <w:t>通过低效产业用地再开发，将一些不符合安全生产和环保要求的污染企业搬迁，降低能源消耗，减少污染物排放，对促进生态环境建设发挥了重要作用。整治改造后的低效用地，绿化等基础设施更加完善、居住环境也得到明显改善。</w:t>
      </w:r>
    </w:p>
    <w:p>
      <w:pPr>
        <w:spacing w:line="360" w:lineRule="auto"/>
        <w:ind w:firstLine="560" w:firstLineChars="200"/>
        <w:rPr>
          <w:rFonts w:ascii="Times New Roman" w:hAnsi="Times New Roman" w:eastAsia="方正黑体_GBK" w:cs="Times New Roman"/>
          <w:sz w:val="28"/>
        </w:rPr>
      </w:pPr>
      <w:r>
        <w:rPr>
          <w:rFonts w:ascii="Times New Roman" w:hAnsi="Times New Roman" w:eastAsia="方正黑体_GBK" w:cs="Times New Roman"/>
          <w:sz w:val="28"/>
        </w:rPr>
        <w:t>六、结论</w:t>
      </w:r>
    </w:p>
    <w:p>
      <w:pPr>
        <w:spacing w:line="360" w:lineRule="auto"/>
        <w:ind w:firstLine="560" w:firstLineChars="200"/>
        <w:rPr>
          <w:rFonts w:ascii="Times New Roman" w:hAnsi="Times New Roman" w:eastAsia="仿宋_GB2312" w:cs="Times New Roman"/>
          <w:sz w:val="28"/>
        </w:rPr>
      </w:pPr>
      <w:r>
        <w:rPr>
          <w:rFonts w:hint="eastAsia" w:ascii="Times New Roman" w:hAnsi="Times New Roman" w:eastAsia="仿宋_GB2312" w:cs="Times New Roman"/>
          <w:sz w:val="28"/>
        </w:rPr>
        <w:t>《江苏淮安工业园区低效用地再开发专项规划（</w:t>
      </w:r>
      <w:r>
        <w:rPr>
          <w:rFonts w:ascii="Times New Roman" w:hAnsi="Times New Roman" w:eastAsia="仿宋_GB2312" w:cs="Times New Roman"/>
          <w:sz w:val="28"/>
        </w:rPr>
        <w:t>2021-2025年）》符合自然资源部</w:t>
      </w:r>
      <w:r>
        <w:rPr>
          <w:rFonts w:hint="eastAsia" w:ascii="Times New Roman" w:hAnsi="Times New Roman" w:eastAsia="仿宋_GB2312" w:cs="Times New Roman"/>
          <w:sz w:val="28"/>
        </w:rPr>
        <w:t>低效用地再开发</w:t>
      </w:r>
      <w:r>
        <w:rPr>
          <w:rFonts w:ascii="Times New Roman" w:hAnsi="Times New Roman" w:eastAsia="仿宋_GB2312" w:cs="Times New Roman"/>
          <w:sz w:val="28"/>
        </w:rPr>
        <w:t>的标准,</w:t>
      </w:r>
      <w:r>
        <w:rPr>
          <w:rFonts w:hint="eastAsia" w:ascii="Times New Roman" w:hAnsi="Times New Roman" w:eastAsia="仿宋_GB2312" w:cs="Times New Roman"/>
          <w:sz w:val="28"/>
        </w:rPr>
        <w:t>实现了挖掘低效土地利用潜力，提高土地利用综合效益，保障社会经济发展的用地需求的目标。</w:t>
      </w:r>
    </w:p>
    <w:p>
      <w:pPr>
        <w:spacing w:line="360" w:lineRule="auto"/>
        <w:rPr>
          <w:rFonts w:ascii="仿宋_GB2312" w:hAnsi="宋体" w:eastAsia="仿宋_GB2312"/>
          <w:sz w:val="28"/>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黑体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555C3"/>
    <w:rsid w:val="00013EC8"/>
    <w:rsid w:val="000730E6"/>
    <w:rsid w:val="00082DD7"/>
    <w:rsid w:val="000942F3"/>
    <w:rsid w:val="00101109"/>
    <w:rsid w:val="0013021E"/>
    <w:rsid w:val="00135834"/>
    <w:rsid w:val="00135D98"/>
    <w:rsid w:val="0016057B"/>
    <w:rsid w:val="001655FA"/>
    <w:rsid w:val="001948F7"/>
    <w:rsid w:val="001B31EE"/>
    <w:rsid w:val="001E64F3"/>
    <w:rsid w:val="002044AF"/>
    <w:rsid w:val="00223F9E"/>
    <w:rsid w:val="00225546"/>
    <w:rsid w:val="00251519"/>
    <w:rsid w:val="00274455"/>
    <w:rsid w:val="002E0EAE"/>
    <w:rsid w:val="002E3C21"/>
    <w:rsid w:val="002F46D7"/>
    <w:rsid w:val="00303319"/>
    <w:rsid w:val="00307CE8"/>
    <w:rsid w:val="00325A7B"/>
    <w:rsid w:val="00340633"/>
    <w:rsid w:val="00345971"/>
    <w:rsid w:val="00353870"/>
    <w:rsid w:val="003555C3"/>
    <w:rsid w:val="00356C53"/>
    <w:rsid w:val="003C2530"/>
    <w:rsid w:val="004051DE"/>
    <w:rsid w:val="0041703D"/>
    <w:rsid w:val="004277F9"/>
    <w:rsid w:val="00457C2D"/>
    <w:rsid w:val="004B1A41"/>
    <w:rsid w:val="004B2DC6"/>
    <w:rsid w:val="004B664A"/>
    <w:rsid w:val="004C0E6E"/>
    <w:rsid w:val="004C1689"/>
    <w:rsid w:val="004F10A5"/>
    <w:rsid w:val="004F7230"/>
    <w:rsid w:val="005338FD"/>
    <w:rsid w:val="00547911"/>
    <w:rsid w:val="00575067"/>
    <w:rsid w:val="005B3B82"/>
    <w:rsid w:val="0061063E"/>
    <w:rsid w:val="00642A20"/>
    <w:rsid w:val="00654AD5"/>
    <w:rsid w:val="006560D8"/>
    <w:rsid w:val="00662440"/>
    <w:rsid w:val="00686420"/>
    <w:rsid w:val="006952CB"/>
    <w:rsid w:val="006A7A13"/>
    <w:rsid w:val="006B3406"/>
    <w:rsid w:val="007033FC"/>
    <w:rsid w:val="0076427E"/>
    <w:rsid w:val="007771DD"/>
    <w:rsid w:val="007A6C8F"/>
    <w:rsid w:val="007B53EC"/>
    <w:rsid w:val="007D2921"/>
    <w:rsid w:val="00820EDA"/>
    <w:rsid w:val="0084677B"/>
    <w:rsid w:val="00856721"/>
    <w:rsid w:val="00874166"/>
    <w:rsid w:val="008906F6"/>
    <w:rsid w:val="00891FF2"/>
    <w:rsid w:val="008A1E27"/>
    <w:rsid w:val="008B5000"/>
    <w:rsid w:val="008B678C"/>
    <w:rsid w:val="008F6B5E"/>
    <w:rsid w:val="00933477"/>
    <w:rsid w:val="00956966"/>
    <w:rsid w:val="00987D75"/>
    <w:rsid w:val="009D4296"/>
    <w:rsid w:val="009E3E7F"/>
    <w:rsid w:val="009E5843"/>
    <w:rsid w:val="00A3413D"/>
    <w:rsid w:val="00A64050"/>
    <w:rsid w:val="00A6693A"/>
    <w:rsid w:val="00A8001E"/>
    <w:rsid w:val="00A85535"/>
    <w:rsid w:val="00A952AB"/>
    <w:rsid w:val="00AA5C0F"/>
    <w:rsid w:val="00AC0290"/>
    <w:rsid w:val="00AD0683"/>
    <w:rsid w:val="00AD2F10"/>
    <w:rsid w:val="00AD3915"/>
    <w:rsid w:val="00B2574B"/>
    <w:rsid w:val="00B30806"/>
    <w:rsid w:val="00B6288B"/>
    <w:rsid w:val="00B70C06"/>
    <w:rsid w:val="00B81D20"/>
    <w:rsid w:val="00B85346"/>
    <w:rsid w:val="00BB3EB6"/>
    <w:rsid w:val="00BD166C"/>
    <w:rsid w:val="00BD1B96"/>
    <w:rsid w:val="00C11A3F"/>
    <w:rsid w:val="00C15B1F"/>
    <w:rsid w:val="00C25E67"/>
    <w:rsid w:val="00C41F03"/>
    <w:rsid w:val="00C513FB"/>
    <w:rsid w:val="00C514A0"/>
    <w:rsid w:val="00C64A1C"/>
    <w:rsid w:val="00C77591"/>
    <w:rsid w:val="00C8213A"/>
    <w:rsid w:val="00CB3BBE"/>
    <w:rsid w:val="00CE6C69"/>
    <w:rsid w:val="00CF202B"/>
    <w:rsid w:val="00D10A0A"/>
    <w:rsid w:val="00DB025A"/>
    <w:rsid w:val="00DC362D"/>
    <w:rsid w:val="00DE1058"/>
    <w:rsid w:val="00DE1800"/>
    <w:rsid w:val="00DE1F70"/>
    <w:rsid w:val="00DE6E5C"/>
    <w:rsid w:val="00E009CB"/>
    <w:rsid w:val="00E02772"/>
    <w:rsid w:val="00E16DC6"/>
    <w:rsid w:val="00E33463"/>
    <w:rsid w:val="00E52B61"/>
    <w:rsid w:val="00E60C50"/>
    <w:rsid w:val="00E746D0"/>
    <w:rsid w:val="00E9263C"/>
    <w:rsid w:val="00E96C06"/>
    <w:rsid w:val="00EB244B"/>
    <w:rsid w:val="00F06B4F"/>
    <w:rsid w:val="00F418B6"/>
    <w:rsid w:val="00F61566"/>
    <w:rsid w:val="00F77CE8"/>
    <w:rsid w:val="00F860AA"/>
    <w:rsid w:val="00F9284E"/>
    <w:rsid w:val="00FC4837"/>
    <w:rsid w:val="00FC48C4"/>
    <w:rsid w:val="699A53B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5D70D41-7919-487D-8431-D118B7B8E355}">
  <ds:schemaRefs/>
</ds:datastoreItem>
</file>

<file path=docProps/app.xml><?xml version="1.0" encoding="utf-8"?>
<Properties xmlns="http://schemas.openxmlformats.org/officeDocument/2006/extended-properties" xmlns:vt="http://schemas.openxmlformats.org/officeDocument/2006/docPropsVTypes">
  <Template>Normal</Template>
  <Pages>1</Pages>
  <Words>331</Words>
  <Characters>1893</Characters>
  <Lines>15</Lines>
  <Paragraphs>4</Paragraphs>
  <TotalTime>97</TotalTime>
  <ScaleCrop>false</ScaleCrop>
  <LinksUpToDate>false</LinksUpToDate>
  <CharactersWithSpaces>2220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2021-04-09T08:22:00Z</dcterms:created>
  <dc:creator>微软用户</dc:creator>
  <cp:lastModifiedBy>赵耀</cp:lastModifiedBy>
  <cp:lastPrinted>2022-01-11T03:43:00Z</cp:lastPrinted>
  <dcterms:modified xsi:type="dcterms:W3CDTF">2022-01-18T02:37:22Z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14B295B2EAE8402AB4F4F8CF79A8E538</vt:lpwstr>
  </property>
</Properties>
</file>