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pPr>
        <w:jc w:val="center"/>
        <w:rPr>
          <w:rFonts w:ascii="仿宋" w:hAnsi="仿宋" w:eastAsia="仿宋" w:cs="宋体"/>
        </w:rPr>
      </w:pPr>
    </w:p>
    <w:p>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），按招标文件约定向贵方提供路灯，以保证项目的顺利实施。</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在接到招标人书面进场通知起，按要求及时提供各类路灯</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pPr>
        <w:spacing w:line="660" w:lineRule="exact"/>
        <w:ind w:firstLine="2800" w:firstLineChars="1000"/>
        <w:rPr>
          <w:rFonts w:hint="eastAsia" w:ascii="仿宋" w:hAnsi="仿宋" w:eastAsia="仿宋" w:cs="Arial Unicode MS"/>
          <w:sz w:val="28"/>
          <w:szCs w:val="28"/>
        </w:rPr>
      </w:pPr>
    </w:p>
    <w:p>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宋体"/>
          <w:sz w:val="28"/>
          <w:szCs w:val="28"/>
          <w:lang w:val="en-US" w:eastAsia="zh-CN"/>
        </w:rPr>
      </w:pPr>
    </w:p>
    <w:p>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rPr>
          <w:rFonts w:hint="eastAsia" w:ascii="宋体" w:hAnsi="宋体" w:cs="宋体"/>
          <w:sz w:val="52"/>
          <w:szCs w:val="52"/>
          <w:lang w:val="en-US" w:eastAsia="zh-CN"/>
        </w:rPr>
      </w:pPr>
    </w:p>
    <w:p>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pPr>
        <w:keepNext w:val="0"/>
        <w:keepLines w:val="0"/>
        <w:widowControl/>
        <w:suppressLineNumbers w:val="0"/>
        <w:jc w:val="center"/>
        <w:rPr>
          <w:rFonts w:ascii="黑体" w:hAnsi="宋体" w:eastAsia="黑体" w:cs="黑体"/>
          <w:color w:val="000000"/>
          <w:kern w:val="0"/>
          <w:sz w:val="44"/>
          <w:szCs w:val="44"/>
          <w:lang w:val="en-US" w:eastAsia="zh-CN" w:bidi="ar"/>
        </w:rPr>
      </w:pPr>
    </w:p>
    <w:p>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pPr>
        <w:spacing w:line="560" w:lineRule="exact"/>
        <w:ind w:firstLine="1400" w:firstLineChars="500"/>
        <w:rPr>
          <w:rFonts w:hint="eastAsia" w:ascii="宋体" w:hAnsi="宋体" w:cs="宋体"/>
          <w:sz w:val="28"/>
          <w:szCs w:val="28"/>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pPr>
        <w:rPr>
          <w:rFonts w:hint="eastAsia"/>
          <w:b w:val="0"/>
          <w:bCs/>
          <w:sz w:val="44"/>
          <w:szCs w:val="44"/>
          <w:lang w:eastAsia="zh-CN"/>
        </w:rPr>
      </w:pPr>
    </w:p>
    <w:p>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rFonts w:hint="eastAsia" w:ascii="仿宋" w:hAnsi="仿宋" w:eastAsia="仿宋" w:cs="仿宋"/>
          <w:b w:val="0"/>
          <w:bCs/>
          <w:sz w:val="28"/>
          <w:szCs w:val="28"/>
          <w:lang w:val="en-US" w:eastAsia="zh-CN"/>
        </w:rPr>
      </w:pP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pPr>
        <w:spacing w:line="560" w:lineRule="exact"/>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淮海南路路灯提升工程路灯报价单</w:t>
      </w:r>
    </w:p>
    <w:tbl>
      <w:tblPr>
        <w:tblStyle w:val="3"/>
        <w:tblW w:w="104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2865"/>
        <w:gridCol w:w="810"/>
        <w:gridCol w:w="870"/>
        <w:gridCol w:w="1125"/>
        <w:gridCol w:w="1065"/>
        <w:gridCol w:w="1020"/>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投标报价（元/单位）</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72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样品图片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一般纳税人，税率13%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小规模纳税人，税率3%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2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15米路灯</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（1）总高15米（灯头4.0米，主杆11米）材质为Q235钢材，主杆采用4-75*150*2.75mm厚矩形方管组成，加工完成后，整体热镀锌，高温静电喷塑处理。表面为定制的古铜色（具体颜色见投标文件附件）。</w:t>
            </w:r>
          </w:p>
          <w:p>
            <w:pPr>
              <w:keepNext w:val="0"/>
              <w:keepLines w:val="0"/>
              <w:widowControl/>
              <w:suppressLineNumbers w:val="0"/>
              <w:jc w:val="left"/>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（2）灯头采用优质镀锌板材，激光切割拼制而成。</w:t>
            </w:r>
          </w:p>
          <w:p>
            <w:pPr>
              <w:keepNext w:val="0"/>
              <w:keepLines w:val="0"/>
              <w:widowControl/>
              <w:suppressLineNumbers w:val="0"/>
              <w:jc w:val="left"/>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（3）透光灯罩为PC材质，光源为：上装4光源240W-120W，50W*2 LED模组，下装4光源120W-120W-50W-50W LED 模组，灯罩装饰光源为13*20wLED，质保5年。</w:t>
            </w:r>
          </w:p>
          <w:p>
            <w:pPr>
              <w:keepNext w:val="0"/>
              <w:keepLines w:val="0"/>
              <w:widowControl/>
              <w:suppressLineNumbers w:val="0"/>
              <w:jc w:val="left"/>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（4）法兰尺寸φ650*20。</w:t>
            </w:r>
          </w:p>
          <w:p>
            <w:pPr>
              <w:keepNext w:val="0"/>
              <w:keepLines w:val="0"/>
              <w:widowControl/>
              <w:suppressLineNumbers w:val="0"/>
              <w:jc w:val="left"/>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（5）含光源、地笼及基础钢筋。</w:t>
            </w:r>
          </w:p>
          <w:p>
            <w:pPr>
              <w:keepNext w:val="0"/>
              <w:keepLines w:val="0"/>
              <w:widowControl/>
              <w:suppressLineNumbers w:val="0"/>
              <w:jc w:val="left"/>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（6）路灯杆须悬挂国旗灯箱，灯箱尺寸1.44*0.96米。</w:t>
            </w:r>
          </w:p>
          <w:p>
            <w:pPr>
              <w:keepNext w:val="0"/>
              <w:keepLines w:val="0"/>
              <w:widowControl/>
              <w:suppressLineNumbers w:val="0"/>
              <w:jc w:val="left"/>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(7)整杆和光源质保期五年</w:t>
            </w:r>
          </w:p>
          <w:p>
            <w:pPr>
              <w:keepNext w:val="0"/>
              <w:keepLines w:val="0"/>
              <w:widowControl/>
              <w:suppressLineNumbers w:val="0"/>
              <w:jc w:val="left"/>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(8)驱动电源及其他配件须满足招标文件要求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15米智慧灯杆</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(1)智慧路灯主杆4根75*150*2.75mm矩管+350*350*10不等边八边形；八棱锥杆横臂：上口∅120,下口∅240，厚5.0，长12米；法兰φ650*25。其他要求同15米</w:t>
            </w:r>
            <w:bookmarkStart w:id="0" w:name="_GoBack"/>
            <w:bookmarkEnd w:id="0"/>
            <w:r>
              <w:rPr>
                <w:rFonts w:hint="eastAsia" w:ascii="宋体" w:hAnsi="宋体" w:cs="宋体"/>
                <w:i w:val="0"/>
                <w:iCs w:val="0"/>
                <w:color w:val="000000"/>
                <w:sz w:val="22"/>
                <w:szCs w:val="22"/>
                <w:u w:val="none"/>
                <w:lang w:val="en-US" w:eastAsia="zh-CN"/>
              </w:rPr>
              <w:t>路灯。</w:t>
            </w:r>
          </w:p>
          <w:p>
            <w:pPr>
              <w:keepNext w:val="0"/>
              <w:keepLines w:val="0"/>
              <w:widowControl/>
              <w:suppressLineNumbers w:val="0"/>
              <w:jc w:val="left"/>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(2)智慧灯杆须根据各路口现场实际情况进行深化设计，深化设计方案须经过招标人确认后方可进行实施。投标人综合考虑进行报价，中标后价格不予调整。</w:t>
            </w:r>
          </w:p>
          <w:p>
            <w:pPr>
              <w:keepNext w:val="0"/>
              <w:keepLines w:val="0"/>
              <w:widowControl/>
              <w:suppressLineNumbers w:val="0"/>
              <w:jc w:val="left"/>
              <w:textAlignment w:val="center"/>
              <w:rPr>
                <w:rFonts w:hint="eastAsia" w:ascii="宋体" w:hAnsi="宋体" w:cs="宋体"/>
                <w:i w:val="0"/>
                <w:iCs w:val="0"/>
                <w:color w:val="000000"/>
                <w:sz w:val="22"/>
                <w:szCs w:val="22"/>
                <w:u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jc w:val="center"/>
        </w:trPr>
        <w:tc>
          <w:tcPr>
            <w:tcW w:w="868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总计（元）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2"/>
                <w:szCs w:val="22"/>
                <w:u w:val="none"/>
                <w:lang w:val="en-US" w:eastAsia="zh-CN"/>
              </w:rPr>
            </w:pPr>
          </w:p>
        </w:tc>
      </w:tr>
    </w:tbl>
    <w:p>
      <w:pPr>
        <w:spacing w:beforeAutospacing="0" w:afterAutospacing="0" w:line="560" w:lineRule="exact"/>
        <w:ind w:firstLine="3092" w:firstLineChars="700"/>
        <w:rPr>
          <w:rFonts w:hint="eastAsia" w:ascii="仿宋" w:hAnsi="仿宋" w:eastAsia="仿宋" w:cs="仿宋"/>
          <w:b/>
          <w:bCs/>
          <w:sz w:val="44"/>
          <w:szCs w:val="44"/>
          <w:lang w:val="en-US" w:eastAsia="zh-CN"/>
        </w:rPr>
      </w:pPr>
    </w:p>
    <w:p>
      <w:pPr>
        <w:numPr>
          <w:ilvl w:val="0"/>
          <w:numId w:val="0"/>
        </w:numPr>
        <w:rPr>
          <w:rFonts w:hint="eastAsia" w:ascii="仿宋" w:hAnsi="仿宋" w:eastAsia="仿宋" w:cs="仿宋"/>
          <w:sz w:val="24"/>
          <w:szCs w:val="24"/>
          <w:u w:val="none"/>
          <w:lang w:val="en-US" w:eastAsia="zh-CN"/>
        </w:rPr>
      </w:pPr>
    </w:p>
    <w:p>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r>
        <w:rPr>
          <w:rFonts w:hint="eastAsia" w:ascii="仿宋" w:hAnsi="仿宋" w:eastAsia="仿宋" w:cs="仿宋"/>
          <w:color w:val="auto"/>
          <w:kern w:val="2"/>
          <w:sz w:val="24"/>
          <w:szCs w:val="24"/>
          <w:highlight w:val="none"/>
          <w:lang w:val="en-US" w:eastAsia="zh-CN" w:bidi="ar-SA"/>
        </w:rPr>
        <w:t>1.本项目含13%税率投标控制价为2600000元，含3%税率投标控制价为2369912元。</w:t>
      </w:r>
    </w:p>
    <w:p>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投标人向招标人提供列定规格材料的综合费用体现。报价包含但不限于人工费、材料费、运输费、机械费、管理费、安装费、税金等为完成上述工作所发生的全部费用（招标人仅负责基础开挖、地笼安装、钢筋绑扎、混凝土浇筑）。</w:t>
      </w:r>
    </w:p>
    <w:p>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4.数字请用电脑打印，手写无效。</w:t>
      </w: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附件:样品图片</w:t>
      </w:r>
    </w:p>
    <w:p>
      <w:pPr>
        <w:spacing w:line="560" w:lineRule="exact"/>
        <w:ind w:firstLine="880" w:firstLineChars="200"/>
        <w:rPr>
          <w:rFonts w:hint="eastAsia" w:ascii="仿宋" w:hAnsi="仿宋" w:eastAsia="仿宋" w:cs="仿宋"/>
          <w:sz w:val="44"/>
          <w:szCs w:val="44"/>
          <w:lang w:val="en-US" w:eastAsia="zh-CN"/>
        </w:rPr>
      </w:pPr>
      <w:r>
        <w:rPr>
          <w:rFonts w:hint="default" w:ascii="仿宋" w:hAnsi="仿宋" w:eastAsia="仿宋" w:cs="仿宋"/>
          <w:sz w:val="44"/>
          <w:szCs w:val="44"/>
          <w:lang w:val="en-US" w:eastAsia="zh-CN"/>
        </w:rPr>
        <w:drawing>
          <wp:anchor distT="0" distB="0" distL="114300" distR="114300" simplePos="0" relativeHeight="251660288" behindDoc="0" locked="0" layoutInCell="1" allowOverlap="1">
            <wp:simplePos x="0" y="0"/>
            <wp:positionH relativeFrom="column">
              <wp:posOffset>3076575</wp:posOffset>
            </wp:positionH>
            <wp:positionV relativeFrom="paragraph">
              <wp:posOffset>149225</wp:posOffset>
            </wp:positionV>
            <wp:extent cx="2019300" cy="3271520"/>
            <wp:effectExtent l="0" t="0" r="0" b="5080"/>
            <wp:wrapSquare wrapText="bothSides"/>
            <wp:docPr id="2" name="图片 2" descr="047f4ea7a40b1b893b8379cf33ec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47f4ea7a40b1b893b8379cf33ec708"/>
                    <pic:cNvPicPr>
                      <a:picLocks noChangeAspect="1"/>
                    </pic:cNvPicPr>
                  </pic:nvPicPr>
                  <pic:blipFill>
                    <a:blip r:embed="rId4"/>
                    <a:srcRect l="25899" t="231" r="14028" b="26792"/>
                    <a:stretch>
                      <a:fillRect/>
                    </a:stretch>
                  </pic:blipFill>
                  <pic:spPr>
                    <a:xfrm>
                      <a:off x="0" y="0"/>
                      <a:ext cx="2019300" cy="3271520"/>
                    </a:xfrm>
                    <a:prstGeom prst="rect">
                      <a:avLst/>
                    </a:prstGeom>
                  </pic:spPr>
                </pic:pic>
              </a:graphicData>
            </a:graphic>
          </wp:anchor>
        </w:drawing>
      </w:r>
      <w:r>
        <w:rPr>
          <w:rFonts w:hint="eastAsia" w:ascii="仿宋" w:hAnsi="仿宋" w:eastAsia="仿宋" w:cs="仿宋"/>
          <w:sz w:val="44"/>
          <w:szCs w:val="44"/>
          <w:lang w:val="en-US" w:eastAsia="zh-CN"/>
        </w:rPr>
        <w:drawing>
          <wp:anchor distT="0" distB="0" distL="114300" distR="114300" simplePos="0" relativeHeight="251659264" behindDoc="0" locked="0" layoutInCell="1" allowOverlap="1">
            <wp:simplePos x="0" y="0"/>
            <wp:positionH relativeFrom="column">
              <wp:posOffset>-129540</wp:posOffset>
            </wp:positionH>
            <wp:positionV relativeFrom="paragraph">
              <wp:posOffset>125730</wp:posOffset>
            </wp:positionV>
            <wp:extent cx="2476500" cy="3302635"/>
            <wp:effectExtent l="0" t="0" r="0" b="0"/>
            <wp:wrapSquare wrapText="bothSides"/>
            <wp:docPr id="3" name="图片 3" descr="407f1367bc94cc3fd7331c1bc548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7f1367bc94cc3fd7331c1bc54852d"/>
                    <pic:cNvPicPr>
                      <a:picLocks noChangeAspect="1"/>
                    </pic:cNvPicPr>
                  </pic:nvPicPr>
                  <pic:blipFill>
                    <a:blip r:embed="rId5"/>
                    <a:srcRect l="15660" r="33697" b="9955"/>
                    <a:stretch>
                      <a:fillRect/>
                    </a:stretch>
                  </pic:blipFill>
                  <pic:spPr>
                    <a:xfrm>
                      <a:off x="0" y="0"/>
                      <a:ext cx="2476500" cy="3302635"/>
                    </a:xfrm>
                    <a:prstGeom prst="rect">
                      <a:avLst/>
                    </a:prstGeom>
                  </pic:spPr>
                </pic:pic>
              </a:graphicData>
            </a:graphic>
          </wp:anchor>
        </w:drawing>
      </w:r>
    </w:p>
    <w:p>
      <w:pPr>
        <w:spacing w:line="560" w:lineRule="exact"/>
        <w:ind w:firstLine="880" w:firstLineChars="200"/>
        <w:rPr>
          <w:rFonts w:hint="eastAsia" w:ascii="仿宋" w:hAnsi="仿宋" w:eastAsia="仿宋" w:cs="仿宋"/>
          <w:sz w:val="44"/>
          <w:szCs w:val="44"/>
          <w:lang w:val="en-US" w:eastAsia="zh-CN"/>
        </w:rPr>
      </w:pPr>
    </w:p>
    <w:p>
      <w:pPr>
        <w:spacing w:line="560" w:lineRule="exact"/>
        <w:rPr>
          <w:rFonts w:hint="default" w:ascii="仿宋" w:hAnsi="仿宋" w:eastAsia="仿宋" w:cs="仿宋"/>
          <w:sz w:val="44"/>
          <w:szCs w:val="44"/>
          <w:lang w:val="en-US" w:eastAsia="zh-CN"/>
        </w:rPr>
      </w:pPr>
    </w:p>
    <w:p>
      <w:pPr>
        <w:spacing w:line="560" w:lineRule="exact"/>
        <w:rPr>
          <w:rFonts w:hint="default" w:ascii="仿宋" w:hAnsi="仿宋" w:eastAsia="仿宋" w:cs="仿宋"/>
          <w:sz w:val="44"/>
          <w:szCs w:val="44"/>
          <w:lang w:val="en-US" w:eastAsia="zh-CN"/>
        </w:rPr>
      </w:pPr>
    </w:p>
    <w:p>
      <w:pPr>
        <w:spacing w:line="560" w:lineRule="exact"/>
        <w:rPr>
          <w:rFonts w:hint="default" w:ascii="仿宋" w:hAnsi="仿宋" w:eastAsia="仿宋" w:cs="仿宋"/>
          <w:sz w:val="44"/>
          <w:szCs w:val="44"/>
          <w:lang w:val="en-US" w:eastAsia="zh-CN"/>
        </w:rPr>
      </w:pPr>
    </w:p>
    <w:p>
      <w:pPr>
        <w:spacing w:line="560" w:lineRule="exact"/>
        <w:rPr>
          <w:rFonts w:hint="default" w:ascii="仿宋" w:hAnsi="仿宋" w:eastAsia="仿宋" w:cs="仿宋"/>
          <w:sz w:val="44"/>
          <w:szCs w:val="44"/>
          <w:lang w:val="en-US" w:eastAsia="zh-CN"/>
        </w:rPr>
      </w:pPr>
    </w:p>
    <w:p>
      <w:pPr>
        <w:spacing w:line="560" w:lineRule="exact"/>
        <w:rPr>
          <w:rFonts w:hint="default" w:ascii="仿宋" w:hAnsi="仿宋" w:eastAsia="仿宋" w:cs="仿宋"/>
          <w:sz w:val="44"/>
          <w:szCs w:val="44"/>
          <w:lang w:val="en-US" w:eastAsia="zh-CN"/>
        </w:rPr>
      </w:pPr>
    </w:p>
    <w:p>
      <w:pPr>
        <w:spacing w:line="560" w:lineRule="exact"/>
        <w:rPr>
          <w:rFonts w:hint="default" w:ascii="仿宋" w:hAnsi="仿宋" w:eastAsia="仿宋" w:cs="仿宋"/>
          <w:sz w:val="44"/>
          <w:szCs w:val="44"/>
          <w:lang w:val="en-US" w:eastAsia="zh-CN"/>
        </w:rPr>
      </w:pPr>
    </w:p>
    <w:p>
      <w:pPr>
        <w:spacing w:line="560" w:lineRule="exact"/>
        <w:rPr>
          <w:rFonts w:hint="default" w:ascii="仿宋" w:hAnsi="仿宋" w:eastAsia="仿宋" w:cs="仿宋"/>
          <w:sz w:val="44"/>
          <w:szCs w:val="44"/>
          <w:lang w:val="en-US" w:eastAsia="zh-CN"/>
        </w:rPr>
      </w:pPr>
    </w:p>
    <w:p>
      <w:pPr>
        <w:spacing w:line="560" w:lineRule="exact"/>
        <w:rPr>
          <w:rFonts w:hint="default" w:ascii="仿宋" w:hAnsi="仿宋" w:eastAsia="仿宋" w:cs="仿宋"/>
          <w:sz w:val="44"/>
          <w:szCs w:val="44"/>
          <w:lang w:val="en-US" w:eastAsia="zh-CN"/>
        </w:rPr>
      </w:pPr>
    </w:p>
    <w:p>
      <w:pPr>
        <w:spacing w:line="560" w:lineRule="exact"/>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（样式样品）</w:t>
      </w:r>
      <w:r>
        <w:rPr>
          <w:rFonts w:hint="eastAsia" w:ascii="仿宋" w:hAnsi="仿宋" w:eastAsia="仿宋" w:cs="仿宋"/>
          <w:sz w:val="40"/>
          <w:szCs w:val="40"/>
          <w:lang w:val="en-US" w:eastAsia="zh-CN"/>
        </w:rPr>
        <w:t xml:space="preserve"> </w:t>
      </w: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（颜色样品，定制古铜色）</w:t>
      </w: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pPr>
        <w:ind w:firstLine="2640" w:firstLineChars="600"/>
        <w:rPr>
          <w:rFonts w:hint="eastAsia"/>
          <w:b w:val="0"/>
          <w:bCs/>
          <w:sz w:val="44"/>
          <w:szCs w:val="44"/>
          <w:lang w:eastAsia="zh-CN"/>
        </w:rPr>
      </w:pP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ind w:firstLine="0" w:firstLineChars="0"/>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淮海南路路灯提升工程路灯采购及安装合同</w:t>
      </w:r>
    </w:p>
    <w:p>
      <w:pPr>
        <w:ind w:firstLine="2891" w:firstLineChars="800"/>
        <w:rPr>
          <w:rFonts w:hint="eastAsia"/>
          <w:b/>
          <w:bCs/>
          <w:sz w:val="36"/>
          <w:szCs w:val="36"/>
          <w:lang w:val="en-US" w:eastAsia="zh-CN"/>
        </w:rPr>
      </w:pPr>
    </w:p>
    <w:p>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lang w:val="en-US" w:eastAsia="zh-CN"/>
        </w:rPr>
        <w:t>路灯</w:t>
      </w:r>
      <w:r>
        <w:rPr>
          <w:rFonts w:hint="eastAsia" w:ascii="仿宋" w:hAnsi="仿宋" w:eastAsia="仿宋" w:cs="仿宋"/>
          <w:sz w:val="28"/>
          <w:szCs w:val="28"/>
          <w:lang w:eastAsia="zh-CN"/>
        </w:rPr>
        <w:t>委托乙方提供。为明确双方职责、权利和义务，相关事项商议如下：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36"/>
        <w:gridCol w:w="2190"/>
        <w:gridCol w:w="1695"/>
        <w:gridCol w:w="200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材料名称</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以上价格含人工费、材料费、运输费、机械费、管理费、安装费、税金等为完成上述工作所发生的全部费用（</w:t>
      </w:r>
      <w:r>
        <w:rPr>
          <w:rFonts w:hint="eastAsia" w:ascii="仿宋" w:hAnsi="仿宋" w:eastAsia="仿宋" w:cs="仿宋"/>
          <w:bCs/>
          <w:sz w:val="24"/>
          <w:szCs w:val="24"/>
          <w:lang w:val="en-US" w:eastAsia="zh-CN"/>
        </w:rPr>
        <w:t>招标人仅负责基础开挖、地笼安装、钢筋绑扎、混凝土浇筑</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；2、此单价为一次性定价，不再调价；3、最终数量按实际供货量进行结算。</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质量标准：</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所供产品不得低于规范及设计要求，供货时发现有不符合规范要求的产品一律退货。</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质保期：安装结束验收合格后之日起五年（整杆和光源），质保期内出现质量问题，乙方免费维修或者更换。</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供货日期：</w:t>
      </w:r>
      <w:r>
        <w:rPr>
          <w:rFonts w:hint="eastAsia" w:ascii="仿宋" w:hAnsi="仿宋" w:eastAsia="仿宋" w:cs="仿宋"/>
          <w:sz w:val="28"/>
          <w:szCs w:val="28"/>
          <w:highlight w:val="none"/>
          <w:lang w:val="en-US" w:eastAsia="zh-CN"/>
        </w:rPr>
        <w:t xml:space="preserve">  日历天内完成供货， 日历天内完成安装。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结算方式为：按实结算。</w:t>
      </w:r>
      <w:r>
        <w:rPr>
          <w:rFonts w:hint="eastAsia" w:ascii="仿宋" w:hAnsi="仿宋" w:eastAsia="仿宋" w:cs="仿宋"/>
          <w:sz w:val="28"/>
          <w:szCs w:val="28"/>
        </w:rPr>
        <w:t>合同签订后7天内支付合同价30%预付款，供货前支付至合同价款的50%，安装结束并经验收合格后一个月内支付至货款的97%，剩余3%货款作质保金，质保期满后一个月内付清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不计利息</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付款前，乙方应向甲方提供合法有效的增值税专用发票，税率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BE0904C8"/>
    <w:multiLevelType w:val="singleLevel"/>
    <w:tmpl w:val="BE0904C8"/>
    <w:lvl w:ilvl="0" w:tentative="0">
      <w:start w:val="2"/>
      <w:numFmt w:val="chineseCounting"/>
      <w:suff w:val="nothing"/>
      <w:lvlText w:val="%1、"/>
      <w:lvlJc w:val="left"/>
      <w:rPr>
        <w:rFonts w:hint="eastAsia"/>
      </w:rPr>
    </w:lvl>
  </w:abstractNum>
  <w:abstractNum w:abstractNumId="2">
    <w:nsid w:val="C35BAFD0"/>
    <w:multiLevelType w:val="singleLevel"/>
    <w:tmpl w:val="C35BAFD0"/>
    <w:lvl w:ilvl="0" w:tentative="0">
      <w:start w:val="1"/>
      <w:numFmt w:val="decimal"/>
      <w:suff w:val="nothing"/>
      <w:lvlText w:val="%1、"/>
      <w:lvlJc w:val="left"/>
    </w:lvl>
  </w:abstractNum>
  <w:abstractNum w:abstractNumId="3">
    <w:nsid w:val="FFA51FE0"/>
    <w:multiLevelType w:val="singleLevel"/>
    <w:tmpl w:val="FFA51FE0"/>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0A275A1"/>
    <w:rsid w:val="01823E9E"/>
    <w:rsid w:val="01971B90"/>
    <w:rsid w:val="020B6A0C"/>
    <w:rsid w:val="04D56E5D"/>
    <w:rsid w:val="04D77EB9"/>
    <w:rsid w:val="05AD22A6"/>
    <w:rsid w:val="079C42F6"/>
    <w:rsid w:val="086B4CA2"/>
    <w:rsid w:val="08BD0334"/>
    <w:rsid w:val="09600DC6"/>
    <w:rsid w:val="09970B85"/>
    <w:rsid w:val="0B1F3EA8"/>
    <w:rsid w:val="0B6C5E98"/>
    <w:rsid w:val="0C6A238B"/>
    <w:rsid w:val="0D3E35C9"/>
    <w:rsid w:val="0D841421"/>
    <w:rsid w:val="0DCF5F15"/>
    <w:rsid w:val="0E3D7516"/>
    <w:rsid w:val="0E6D45AA"/>
    <w:rsid w:val="0E9E41E7"/>
    <w:rsid w:val="0F2C6214"/>
    <w:rsid w:val="0FBF33F8"/>
    <w:rsid w:val="1182036D"/>
    <w:rsid w:val="124920C8"/>
    <w:rsid w:val="12706417"/>
    <w:rsid w:val="129906A9"/>
    <w:rsid w:val="12BC21CC"/>
    <w:rsid w:val="13CC6536"/>
    <w:rsid w:val="13E0588B"/>
    <w:rsid w:val="140C293C"/>
    <w:rsid w:val="148A7C64"/>
    <w:rsid w:val="148F3D09"/>
    <w:rsid w:val="14EF5D19"/>
    <w:rsid w:val="151D2886"/>
    <w:rsid w:val="154F33BD"/>
    <w:rsid w:val="16E66CA8"/>
    <w:rsid w:val="16F1683E"/>
    <w:rsid w:val="172E1C9D"/>
    <w:rsid w:val="175E3991"/>
    <w:rsid w:val="18040928"/>
    <w:rsid w:val="196F104A"/>
    <w:rsid w:val="19F65454"/>
    <w:rsid w:val="1B73586F"/>
    <w:rsid w:val="1B8F4FE5"/>
    <w:rsid w:val="1C420B9B"/>
    <w:rsid w:val="1DE9363D"/>
    <w:rsid w:val="1E222CBC"/>
    <w:rsid w:val="1E4A2B13"/>
    <w:rsid w:val="1E8A59C9"/>
    <w:rsid w:val="1F9A4AD4"/>
    <w:rsid w:val="203A1731"/>
    <w:rsid w:val="20712D17"/>
    <w:rsid w:val="216C4DCC"/>
    <w:rsid w:val="22230513"/>
    <w:rsid w:val="233D71A0"/>
    <w:rsid w:val="23A3664D"/>
    <w:rsid w:val="23AC6149"/>
    <w:rsid w:val="23C22053"/>
    <w:rsid w:val="26265997"/>
    <w:rsid w:val="26C76774"/>
    <w:rsid w:val="26D7660D"/>
    <w:rsid w:val="26E72CF4"/>
    <w:rsid w:val="27A56CA7"/>
    <w:rsid w:val="28FC235B"/>
    <w:rsid w:val="295233F1"/>
    <w:rsid w:val="2AA247E1"/>
    <w:rsid w:val="2BE05F26"/>
    <w:rsid w:val="2BE64745"/>
    <w:rsid w:val="2D3565DC"/>
    <w:rsid w:val="31983456"/>
    <w:rsid w:val="31BE0AF5"/>
    <w:rsid w:val="330865E8"/>
    <w:rsid w:val="337D5244"/>
    <w:rsid w:val="34CB7A66"/>
    <w:rsid w:val="355546CD"/>
    <w:rsid w:val="35695128"/>
    <w:rsid w:val="3580325D"/>
    <w:rsid w:val="358A5F97"/>
    <w:rsid w:val="358D5B69"/>
    <w:rsid w:val="36D10AAA"/>
    <w:rsid w:val="37941808"/>
    <w:rsid w:val="37B07132"/>
    <w:rsid w:val="383D2CCC"/>
    <w:rsid w:val="39DC00F8"/>
    <w:rsid w:val="39FA4695"/>
    <w:rsid w:val="3A3D40D8"/>
    <w:rsid w:val="3BA56C28"/>
    <w:rsid w:val="3F6727CC"/>
    <w:rsid w:val="41790595"/>
    <w:rsid w:val="41C162AF"/>
    <w:rsid w:val="42E63A08"/>
    <w:rsid w:val="435357B1"/>
    <w:rsid w:val="439003F3"/>
    <w:rsid w:val="44E84F44"/>
    <w:rsid w:val="45682CBA"/>
    <w:rsid w:val="45E343BA"/>
    <w:rsid w:val="46341BD6"/>
    <w:rsid w:val="46733805"/>
    <w:rsid w:val="47506CD9"/>
    <w:rsid w:val="478E7DD7"/>
    <w:rsid w:val="4850026B"/>
    <w:rsid w:val="489D65CF"/>
    <w:rsid w:val="49D17714"/>
    <w:rsid w:val="4A3D6EAD"/>
    <w:rsid w:val="4A8C68AB"/>
    <w:rsid w:val="4ABB73AF"/>
    <w:rsid w:val="4AF40C8C"/>
    <w:rsid w:val="4BE62CCB"/>
    <w:rsid w:val="4CFD651E"/>
    <w:rsid w:val="4D2821F3"/>
    <w:rsid w:val="4D753C6D"/>
    <w:rsid w:val="4E555EE6"/>
    <w:rsid w:val="4F016F2F"/>
    <w:rsid w:val="4F606045"/>
    <w:rsid w:val="511E5E6E"/>
    <w:rsid w:val="52694EC1"/>
    <w:rsid w:val="5382777D"/>
    <w:rsid w:val="54192DBF"/>
    <w:rsid w:val="547C2119"/>
    <w:rsid w:val="55B654BC"/>
    <w:rsid w:val="57680A38"/>
    <w:rsid w:val="57C92429"/>
    <w:rsid w:val="588B6397"/>
    <w:rsid w:val="58CF06A0"/>
    <w:rsid w:val="59505C28"/>
    <w:rsid w:val="59A46291"/>
    <w:rsid w:val="59E57C75"/>
    <w:rsid w:val="5AC46FE6"/>
    <w:rsid w:val="5AF32D0E"/>
    <w:rsid w:val="5B7756EE"/>
    <w:rsid w:val="5CBA7F88"/>
    <w:rsid w:val="5D135B2F"/>
    <w:rsid w:val="5D5F77E0"/>
    <w:rsid w:val="5DEB2A00"/>
    <w:rsid w:val="5EDF5A84"/>
    <w:rsid w:val="5FDC48E3"/>
    <w:rsid w:val="6010769B"/>
    <w:rsid w:val="614E67D3"/>
    <w:rsid w:val="61E635CD"/>
    <w:rsid w:val="638618D6"/>
    <w:rsid w:val="65271F32"/>
    <w:rsid w:val="65685D4E"/>
    <w:rsid w:val="66862C89"/>
    <w:rsid w:val="66AB26EF"/>
    <w:rsid w:val="673A686F"/>
    <w:rsid w:val="692F21B3"/>
    <w:rsid w:val="69BF1204"/>
    <w:rsid w:val="6A222779"/>
    <w:rsid w:val="6BBE47E5"/>
    <w:rsid w:val="6BFD06E5"/>
    <w:rsid w:val="6C7517D5"/>
    <w:rsid w:val="6DE679D7"/>
    <w:rsid w:val="6E6A3308"/>
    <w:rsid w:val="6E783CA0"/>
    <w:rsid w:val="6EC244AF"/>
    <w:rsid w:val="6F9F604F"/>
    <w:rsid w:val="6FE82F51"/>
    <w:rsid w:val="702D4E7B"/>
    <w:rsid w:val="70A65262"/>
    <w:rsid w:val="70F353BF"/>
    <w:rsid w:val="73A41F03"/>
    <w:rsid w:val="73BC23E0"/>
    <w:rsid w:val="751245D1"/>
    <w:rsid w:val="768C42EB"/>
    <w:rsid w:val="775F730A"/>
    <w:rsid w:val="79652BD2"/>
    <w:rsid w:val="79742119"/>
    <w:rsid w:val="79855AD0"/>
    <w:rsid w:val="7B205002"/>
    <w:rsid w:val="7B740D54"/>
    <w:rsid w:val="7C776EA4"/>
    <w:rsid w:val="7CA83501"/>
    <w:rsid w:val="7CEF376C"/>
    <w:rsid w:val="7CFC3CA2"/>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2185</Words>
  <Characters>2251</Characters>
  <Lines>0</Lines>
  <Paragraphs>0</Paragraphs>
  <TotalTime>2</TotalTime>
  <ScaleCrop>false</ScaleCrop>
  <LinksUpToDate>false</LinksUpToDate>
  <CharactersWithSpaces>2765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2024-02-27T09:23:00Z</cp:lastPrinted>
  <dcterms:modified xsi:type="dcterms:W3CDTF">2024-05-23T09:08:31Z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BFB3FFF8CCA34BF89259D6D7454B66D6_13</vt:lpwstr>
  </property>
</Properties>
</file>